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254" w:rsidRDefault="00227254" w:rsidP="00227254">
      <w:pPr>
        <w:rPr>
          <w:rFonts w:ascii="Calibri" w:hAnsi="Calibri" w:cs="Calibri"/>
          <w:color w:val="000000"/>
          <w:sz w:val="27"/>
          <w:szCs w:val="27"/>
        </w:rPr>
      </w:pPr>
      <w:r>
        <w:rPr>
          <w:rFonts w:ascii="Calibri" w:hAnsi="Calibri" w:cs="Calibri"/>
          <w:color w:val="000000"/>
          <w:sz w:val="28"/>
          <w:szCs w:val="28"/>
        </w:rPr>
        <w:b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                                                                      Caracas, 21 de enero de 2020.</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Memorándum CDG 1-01 2020.</w:t>
      </w:r>
    </w:p>
    <w:p w:rsidR="00227254" w:rsidRDefault="00227254" w:rsidP="00227254">
      <w:pPr>
        <w:rPr>
          <w:rFonts w:ascii="Calibri" w:hAnsi="Calibri" w:cs="Calibri"/>
          <w:color w:val="000000"/>
          <w:sz w:val="27"/>
          <w:szCs w:val="27"/>
        </w:rPr>
      </w:pPr>
      <w:r>
        <w:rPr>
          <w:rFonts w:ascii="Calibri" w:hAnsi="Calibri" w:cs="Calibri"/>
          <w:color w:val="000000"/>
          <w:sz w:val="28"/>
          <w:szCs w:val="28"/>
        </w:rPr>
        <w:t>Para: Afiliados y simpatizantes.</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jc w:val="both"/>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jc w:val="both"/>
        <w:rPr>
          <w:rFonts w:ascii="Calibri" w:hAnsi="Calibri" w:cs="Calibri"/>
          <w:color w:val="000000"/>
          <w:sz w:val="27"/>
          <w:szCs w:val="27"/>
        </w:rPr>
      </w:pPr>
      <w:r>
        <w:rPr>
          <w:rFonts w:ascii="Calibri" w:hAnsi="Calibri" w:cs="Calibri"/>
          <w:color w:val="000000"/>
          <w:sz w:val="28"/>
          <w:szCs w:val="28"/>
        </w:rPr>
        <w:t>Por este medio hacemos de su conocimiento que de acuerdo con la resolución de la Junta Federal de fecha 22 de noviembre de 2019, las siguientes personas han sido designadas como miembros del Comité de Disciplina y Garantías de acuerdo con el artículo 56 de los estatutos de Vente Venezuela: Gustavo Campos, Froila Castro, Ana Maria Figuera, Yenis Maneiro, Maritza Nebreda, Jesus Rivero y Luis Tarbay.</w:t>
      </w:r>
    </w:p>
    <w:p w:rsidR="00227254" w:rsidRDefault="00227254" w:rsidP="00227254">
      <w:pPr>
        <w:jc w:val="both"/>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jc w:val="both"/>
        <w:rPr>
          <w:rFonts w:ascii="Calibri" w:hAnsi="Calibri" w:cs="Calibri"/>
          <w:color w:val="000000"/>
          <w:sz w:val="27"/>
          <w:szCs w:val="27"/>
        </w:rPr>
      </w:pPr>
      <w:r>
        <w:rPr>
          <w:rFonts w:ascii="Calibri" w:hAnsi="Calibri" w:cs="Calibri"/>
          <w:color w:val="000000"/>
          <w:sz w:val="28"/>
          <w:szCs w:val="28"/>
        </w:rPr>
        <w:t>Por tanto, el comité de garantía les informa que podrán contactarnos a través del siguiente correo para la recepción de las comunicaciones futuras: </w:t>
      </w:r>
      <w:hyperlink r:id="rId4" w:history="1">
        <w:r>
          <w:rPr>
            <w:rStyle w:val="Hipervnculo"/>
            <w:rFonts w:ascii="Calibri" w:hAnsi="Calibri" w:cs="Calibri"/>
            <w:color w:val="954F72"/>
            <w:sz w:val="28"/>
            <w:szCs w:val="28"/>
          </w:rPr>
          <w:t>disciplinaygarantias@ventevenezuela.com</w:t>
        </w:r>
      </w:hyperlink>
    </w:p>
    <w:p w:rsidR="00227254" w:rsidRDefault="00227254" w:rsidP="00227254">
      <w:pPr>
        <w:jc w:val="both"/>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jc w:val="both"/>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jc w:val="both"/>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color w:val="000000"/>
          <w:sz w:val="27"/>
          <w:szCs w:val="27"/>
        </w:rPr>
      </w:pPr>
      <w:r>
        <w:rPr>
          <w:rFonts w:ascii="Calibri" w:hAnsi="Calibri" w:cs="Calibri"/>
          <w:color w:val="000000"/>
          <w:sz w:val="28"/>
          <w:szCs w:val="28"/>
        </w:rPr>
        <w:t>Atentamente.-</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227254" w:rsidRDefault="00227254" w:rsidP="00227254">
      <w:pPr>
        <w:rPr>
          <w:rFonts w:ascii="Calibri" w:hAnsi="Calibri" w:cs="Calibri"/>
          <w:b/>
          <w:bCs/>
          <w:color w:val="000000"/>
          <w:sz w:val="28"/>
          <w:szCs w:val="28"/>
        </w:rPr>
      </w:pPr>
    </w:p>
    <w:p w:rsidR="00227254" w:rsidRPr="00227254" w:rsidRDefault="00227254" w:rsidP="00227254">
      <w:pPr>
        <w:rPr>
          <w:rFonts w:ascii="Calibri" w:hAnsi="Calibri" w:cs="Calibri"/>
          <w:b/>
          <w:bCs/>
          <w:color w:val="000000"/>
          <w:sz w:val="27"/>
          <w:szCs w:val="27"/>
        </w:rPr>
      </w:pPr>
      <w:bookmarkStart w:id="0" w:name="_GoBack"/>
      <w:bookmarkEnd w:id="0"/>
      <w:r w:rsidRPr="00227254">
        <w:rPr>
          <w:rFonts w:ascii="Calibri" w:hAnsi="Calibri" w:cs="Calibri"/>
          <w:b/>
          <w:bCs/>
          <w:color w:val="000000"/>
          <w:sz w:val="28"/>
          <w:szCs w:val="28"/>
        </w:rPr>
        <w:t>Comité de Disciplina y Garantías</w:t>
      </w:r>
    </w:p>
    <w:p w:rsidR="00227254" w:rsidRDefault="00227254" w:rsidP="00227254">
      <w:pPr>
        <w:rPr>
          <w:rFonts w:ascii="Calibri" w:hAnsi="Calibri" w:cs="Calibri"/>
          <w:color w:val="000000"/>
          <w:sz w:val="27"/>
          <w:szCs w:val="27"/>
        </w:rPr>
      </w:pPr>
      <w:r>
        <w:rPr>
          <w:rFonts w:ascii="Calibri" w:hAnsi="Calibri" w:cs="Calibri"/>
          <w:color w:val="000000"/>
          <w:sz w:val="28"/>
          <w:szCs w:val="28"/>
        </w:rPr>
        <w:t> </w:t>
      </w:r>
    </w:p>
    <w:p w:rsidR="00603B7B" w:rsidRPr="00597630" w:rsidRDefault="00603B7B">
      <w:pPr>
        <w:rPr>
          <w:sz w:val="28"/>
          <w:szCs w:val="28"/>
        </w:rPr>
      </w:pPr>
    </w:p>
    <w:p w:rsidR="00603B7B" w:rsidRPr="00237FB7" w:rsidRDefault="00603B7B"/>
    <w:p w:rsidR="00227254" w:rsidRPr="00237FB7" w:rsidRDefault="00227254"/>
    <w:sectPr w:rsidR="00227254" w:rsidRPr="00237FB7" w:rsidSect="008C58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7B"/>
    <w:rsid w:val="00227254"/>
    <w:rsid w:val="00237FB7"/>
    <w:rsid w:val="0056211C"/>
    <w:rsid w:val="00597630"/>
    <w:rsid w:val="00603B7B"/>
    <w:rsid w:val="0069377F"/>
    <w:rsid w:val="008C5849"/>
    <w:rsid w:val="00B0215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09B19E40"/>
  <w15:chartTrackingRefBased/>
  <w15:docId w15:val="{550A8662-641F-4B46-88DB-A5393B10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V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7FB7"/>
    <w:rPr>
      <w:color w:val="0563C1" w:themeColor="hyperlink"/>
      <w:u w:val="single"/>
    </w:rPr>
  </w:style>
  <w:style w:type="character" w:styleId="Mencinsinresolver">
    <w:name w:val="Unresolved Mention"/>
    <w:basedOn w:val="Fuentedeprrafopredeter"/>
    <w:uiPriority w:val="99"/>
    <w:semiHidden/>
    <w:unhideWhenUsed/>
    <w:rsid w:val="002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sciplinaygarantias@ventevenezuel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Larrazabal</dc:creator>
  <cp:keywords/>
  <dc:description/>
  <cp:lastModifiedBy>Mariana Larrazabal</cp:lastModifiedBy>
  <cp:revision>2</cp:revision>
  <dcterms:created xsi:type="dcterms:W3CDTF">2020-01-23T15:38:00Z</dcterms:created>
  <dcterms:modified xsi:type="dcterms:W3CDTF">2020-01-23T15:38:00Z</dcterms:modified>
</cp:coreProperties>
</file>